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F2" w:rsidRPr="008960F2" w:rsidRDefault="007914A0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60F2">
        <w:rPr>
          <w:rFonts w:ascii="Times New Roman" w:hAnsi="Times New Roman" w:cs="Times New Roman"/>
          <w:sz w:val="24"/>
          <w:szCs w:val="24"/>
        </w:rPr>
        <w:t>Приложение</w:t>
      </w:r>
      <w:r w:rsidRPr="008960F2">
        <w:rPr>
          <w:rFonts w:ascii="Times New Roman" w:hAnsi="Times New Roman" w:cs="Times New Roman"/>
          <w:sz w:val="24"/>
          <w:szCs w:val="24"/>
        </w:rPr>
        <w:br/>
        <w:t xml:space="preserve">к Объявлению предоставления из областного </w:t>
      </w:r>
      <w:r w:rsidRPr="008960F2">
        <w:rPr>
          <w:rFonts w:ascii="Times New Roman" w:hAnsi="Times New Roman" w:cs="Times New Roman"/>
          <w:sz w:val="24"/>
          <w:szCs w:val="24"/>
        </w:rPr>
        <w:br/>
        <w:t>бюджета субсидий юридическим лицам</w:t>
      </w:r>
      <w:r w:rsidR="008960F2" w:rsidRPr="008960F2">
        <w:rPr>
          <w:rFonts w:ascii="Times New Roman" w:hAnsi="Times New Roman" w:cs="Times New Roman"/>
          <w:sz w:val="24"/>
          <w:szCs w:val="24"/>
        </w:rPr>
        <w:t xml:space="preserve"> на</w:t>
      </w:r>
      <w:r w:rsidRPr="008960F2">
        <w:rPr>
          <w:rFonts w:ascii="Times New Roman" w:hAnsi="Times New Roman" w:cs="Times New Roman"/>
          <w:sz w:val="24"/>
          <w:szCs w:val="24"/>
        </w:rPr>
        <w:t xml:space="preserve"> </w:t>
      </w:r>
      <w:r w:rsidRPr="008960F2">
        <w:rPr>
          <w:rFonts w:ascii="Times New Roman" w:hAnsi="Times New Roman" w:cs="Times New Roman"/>
          <w:sz w:val="24"/>
          <w:szCs w:val="24"/>
        </w:rPr>
        <w:br/>
      </w:r>
      <w:r w:rsidR="008960F2" w:rsidRPr="008960F2">
        <w:rPr>
          <w:rFonts w:ascii="Times New Roman" w:hAnsi="Times New Roman" w:cs="Times New Roman"/>
          <w:bCs/>
          <w:sz w:val="24"/>
          <w:szCs w:val="24"/>
        </w:rPr>
        <w:t xml:space="preserve">строительство инженерной инфраструктуры </w:t>
      </w:r>
    </w:p>
    <w:p w:rsidR="008960F2" w:rsidRPr="008960F2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60F2">
        <w:rPr>
          <w:rFonts w:ascii="Times New Roman" w:hAnsi="Times New Roman" w:cs="Times New Roman"/>
          <w:bCs/>
          <w:sz w:val="24"/>
          <w:szCs w:val="24"/>
        </w:rPr>
        <w:t xml:space="preserve">для водоотведения площадки особой </w:t>
      </w:r>
    </w:p>
    <w:p w:rsidR="008960F2" w:rsidRPr="008960F2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60F2">
        <w:rPr>
          <w:rFonts w:ascii="Times New Roman" w:hAnsi="Times New Roman" w:cs="Times New Roman"/>
          <w:bCs/>
          <w:sz w:val="24"/>
          <w:szCs w:val="24"/>
        </w:rPr>
        <w:t xml:space="preserve">экономической зоны </w:t>
      </w:r>
      <w:proofErr w:type="gramStart"/>
      <w:r w:rsidRPr="008960F2">
        <w:rPr>
          <w:rFonts w:ascii="Times New Roman" w:hAnsi="Times New Roman" w:cs="Times New Roman"/>
          <w:bCs/>
          <w:sz w:val="24"/>
          <w:szCs w:val="24"/>
        </w:rPr>
        <w:t>промышленно-производст</w:t>
      </w:r>
      <w:bookmarkStart w:id="0" w:name="_GoBack"/>
      <w:bookmarkEnd w:id="0"/>
      <w:r w:rsidRPr="008960F2">
        <w:rPr>
          <w:rFonts w:ascii="Times New Roman" w:hAnsi="Times New Roman" w:cs="Times New Roman"/>
          <w:bCs/>
          <w:sz w:val="24"/>
          <w:szCs w:val="24"/>
        </w:rPr>
        <w:t>венного</w:t>
      </w:r>
      <w:proofErr w:type="gramEnd"/>
    </w:p>
    <w:p w:rsidR="008960F2" w:rsidRPr="008960F2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60F2">
        <w:rPr>
          <w:rFonts w:ascii="Times New Roman" w:hAnsi="Times New Roman" w:cs="Times New Roman"/>
          <w:bCs/>
          <w:sz w:val="24"/>
          <w:szCs w:val="24"/>
        </w:rPr>
        <w:t xml:space="preserve"> типа «Иваново», создание объектов </w:t>
      </w:r>
    </w:p>
    <w:p w:rsidR="008960F2" w:rsidRPr="008960F2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8960F2">
        <w:rPr>
          <w:rFonts w:ascii="Times New Roman" w:hAnsi="Times New Roman" w:cs="Times New Roman"/>
          <w:bCs/>
          <w:sz w:val="24"/>
          <w:szCs w:val="24"/>
        </w:rPr>
        <w:t>иной инфраструктуры (строительство</w:t>
      </w:r>
      <w:proofErr w:type="gramEnd"/>
    </w:p>
    <w:p w:rsidR="008960F2" w:rsidRPr="008960F2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60F2">
        <w:rPr>
          <w:rFonts w:ascii="Times New Roman" w:hAnsi="Times New Roman" w:cs="Times New Roman"/>
          <w:bCs/>
          <w:sz w:val="24"/>
          <w:szCs w:val="24"/>
        </w:rPr>
        <w:t xml:space="preserve"> забора (со шлагбаумом), ограждающего</w:t>
      </w:r>
    </w:p>
    <w:p w:rsidR="008960F2" w:rsidRPr="008960F2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60F2">
        <w:rPr>
          <w:rFonts w:ascii="Times New Roman" w:hAnsi="Times New Roman" w:cs="Times New Roman"/>
          <w:bCs/>
          <w:sz w:val="24"/>
          <w:szCs w:val="24"/>
        </w:rPr>
        <w:t xml:space="preserve"> территорию особой экономической зоны </w:t>
      </w:r>
    </w:p>
    <w:p w:rsidR="008960F2" w:rsidRPr="008960F2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8960F2">
        <w:rPr>
          <w:rFonts w:ascii="Times New Roman" w:hAnsi="Times New Roman" w:cs="Times New Roman"/>
          <w:bCs/>
          <w:sz w:val="24"/>
          <w:szCs w:val="24"/>
        </w:rPr>
        <w:t>промышленно-производственного типа «Иваново»)</w:t>
      </w:r>
      <w:proofErr w:type="gramEnd"/>
    </w:p>
    <w:p w:rsidR="008960F2" w:rsidRPr="008960F2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n-US" w:eastAsia="ru-RU"/>
        </w:rPr>
      </w:pPr>
      <w:r w:rsidRPr="008960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в рамках реализации инфраструктурных</w:t>
      </w:r>
    </w:p>
    <w:p w:rsidR="008960F2" w:rsidRPr="008960F2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n-US" w:eastAsia="ru-RU"/>
        </w:rPr>
      </w:pPr>
      <w:r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проектов, источником </w:t>
      </w:r>
      <w:proofErr w:type="gramStart"/>
      <w:r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финансового</w:t>
      </w:r>
      <w:proofErr w:type="gramEnd"/>
      <w:r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960F2" w:rsidRPr="008960F2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n-US" w:eastAsia="ru-RU"/>
        </w:rPr>
      </w:pPr>
      <w:r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обеспечения расходов на реализацию </w:t>
      </w:r>
    </w:p>
    <w:p w:rsidR="008960F2" w:rsidRPr="008960F2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n-US" w:eastAsia="ru-RU"/>
        </w:rPr>
      </w:pPr>
      <w:proofErr w:type="gramStart"/>
      <w:r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которых</w:t>
      </w:r>
      <w:proofErr w:type="gramEnd"/>
      <w:r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являются бюджетные кредиты </w:t>
      </w:r>
    </w:p>
    <w:p w:rsidR="008960F2" w:rsidRPr="008960F2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n-US" w:eastAsia="ru-RU"/>
        </w:rPr>
      </w:pPr>
      <w:r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из федерального бюджета бюджетам</w:t>
      </w:r>
    </w:p>
    <w:p w:rsidR="008960F2" w:rsidRPr="008960F2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субъектов Российской Федерации </w:t>
      </w:r>
      <w:proofErr w:type="gramStart"/>
      <w:r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на</w:t>
      </w:r>
      <w:proofErr w:type="gramEnd"/>
    </w:p>
    <w:p w:rsidR="008960F2" w:rsidRPr="008960F2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финансовое обеспечение </w:t>
      </w:r>
    </w:p>
    <w:p w:rsidR="008960F2" w:rsidRPr="00150D49" w:rsidRDefault="008960F2" w:rsidP="00896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реализации инфраструктурных проектов</w:t>
      </w:r>
    </w:p>
    <w:p w:rsidR="008960F2" w:rsidRPr="008960F2" w:rsidRDefault="008960F2" w:rsidP="007914A0">
      <w:pPr>
        <w:pStyle w:val="ConsPlusNormal"/>
        <w:spacing w:after="20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14A0" w:rsidRDefault="007914A0" w:rsidP="007914A0">
      <w:pPr>
        <w:pStyle w:val="ConsPlusNormal"/>
        <w:spacing w:after="2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3"/>
        <w:gridCol w:w="992"/>
        <w:gridCol w:w="426"/>
        <w:gridCol w:w="141"/>
        <w:gridCol w:w="2518"/>
      </w:tblGrid>
      <w:tr w:rsidR="007914A0" w:rsidRPr="00AE2843" w:rsidTr="00B14F4A">
        <w:tc>
          <w:tcPr>
            <w:tcW w:w="5494" w:type="dxa"/>
            <w:gridSpan w:val="7"/>
          </w:tcPr>
          <w:p w:rsidR="007914A0" w:rsidRPr="00AE2843" w:rsidRDefault="007914A0" w:rsidP="00B14F4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</w:t>
            </w:r>
            <w:r w:rsidRPr="00AE2843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архитектуры Ивановской области</w:t>
            </w:r>
          </w:p>
        </w:tc>
      </w:tr>
      <w:tr w:rsidR="007914A0" w:rsidRPr="00AE2843" w:rsidTr="00B14F4A">
        <w:tc>
          <w:tcPr>
            <w:tcW w:w="567" w:type="dxa"/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927" w:type="dxa"/>
            <w:gridSpan w:val="6"/>
            <w:tcBorders>
              <w:bottom w:val="single" w:sz="4" w:space="0" w:color="auto"/>
            </w:tcBorders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A0" w:rsidRPr="00AE2843" w:rsidTr="00B14F4A">
        <w:tc>
          <w:tcPr>
            <w:tcW w:w="5494" w:type="dxa"/>
            <w:gridSpan w:val="7"/>
          </w:tcPr>
          <w:p w:rsidR="007914A0" w:rsidRPr="00AE2843" w:rsidRDefault="007914A0" w:rsidP="00B14F4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лица)</w:t>
            </w:r>
          </w:p>
        </w:tc>
      </w:tr>
      <w:tr w:rsidR="007914A0" w:rsidRPr="00AE2843" w:rsidTr="00B14F4A">
        <w:tc>
          <w:tcPr>
            <w:tcW w:w="2835" w:type="dxa"/>
            <w:gridSpan w:val="5"/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A0" w:rsidRPr="00AE2843" w:rsidTr="00B14F4A">
        <w:tc>
          <w:tcPr>
            <w:tcW w:w="2409" w:type="dxa"/>
            <w:gridSpan w:val="4"/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A0" w:rsidRPr="00AE2843" w:rsidTr="00B14F4A">
        <w:tc>
          <w:tcPr>
            <w:tcW w:w="1417" w:type="dxa"/>
            <w:gridSpan w:val="3"/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ИНН/КПП:</w:t>
            </w:r>
          </w:p>
        </w:tc>
        <w:tc>
          <w:tcPr>
            <w:tcW w:w="4077" w:type="dxa"/>
            <w:gridSpan w:val="4"/>
            <w:tcBorders>
              <w:bottom w:val="single" w:sz="4" w:space="0" w:color="auto"/>
            </w:tcBorders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A0" w:rsidRPr="00AE2843" w:rsidTr="00B14F4A">
        <w:tc>
          <w:tcPr>
            <w:tcW w:w="1134" w:type="dxa"/>
            <w:gridSpan w:val="2"/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360" w:type="dxa"/>
            <w:gridSpan w:val="5"/>
            <w:tcBorders>
              <w:bottom w:val="single" w:sz="4" w:space="0" w:color="auto"/>
            </w:tcBorders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A0" w:rsidRPr="00AE2843" w:rsidTr="00B14F4A">
        <w:tc>
          <w:tcPr>
            <w:tcW w:w="2976" w:type="dxa"/>
            <w:gridSpan w:val="6"/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4A0" w:rsidRPr="00AE2843" w:rsidRDefault="007914A0" w:rsidP="007914A0">
      <w:pPr>
        <w:pStyle w:val="ConsPlusNonformat"/>
        <w:spacing w:after="20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68"/>
      <w:bookmarkStart w:id="2" w:name="P296"/>
      <w:bookmarkEnd w:id="1"/>
      <w:bookmarkEnd w:id="2"/>
    </w:p>
    <w:p w:rsidR="008960F2" w:rsidRPr="00150D49" w:rsidRDefault="007914A0" w:rsidP="00896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E2843">
        <w:rPr>
          <w:rFonts w:ascii="Times New Roman" w:hAnsi="Times New Roman" w:cs="Times New Roman"/>
          <w:sz w:val="24"/>
          <w:szCs w:val="24"/>
        </w:rPr>
        <w:t>Предложение (заявка)</w:t>
      </w:r>
      <w:r>
        <w:rPr>
          <w:rFonts w:ascii="Times New Roman" w:hAnsi="Times New Roman" w:cs="Times New Roman"/>
          <w:sz w:val="24"/>
          <w:szCs w:val="24"/>
        </w:rPr>
        <w:br/>
      </w:r>
      <w:r w:rsidRPr="00AE2843">
        <w:rPr>
          <w:rFonts w:ascii="Times New Roman" w:hAnsi="Times New Roman" w:cs="Times New Roman"/>
          <w:sz w:val="24"/>
          <w:szCs w:val="24"/>
        </w:rPr>
        <w:t xml:space="preserve">на предоставление из областного бюджета субсидий юридическим лицам </w:t>
      </w:r>
      <w:r w:rsidR="008960F2">
        <w:rPr>
          <w:rFonts w:ascii="Times New Roman" w:hAnsi="Times New Roman" w:cs="Times New Roman"/>
          <w:sz w:val="24"/>
          <w:szCs w:val="24"/>
        </w:rPr>
        <w:t>на</w:t>
      </w:r>
      <w:r w:rsidR="008960F2" w:rsidRPr="008960F2">
        <w:rPr>
          <w:rFonts w:ascii="Times New Roman" w:hAnsi="Times New Roman" w:cs="Times New Roman"/>
          <w:sz w:val="24"/>
          <w:szCs w:val="24"/>
        </w:rPr>
        <w:t xml:space="preserve"> </w:t>
      </w:r>
      <w:r w:rsidR="008960F2" w:rsidRPr="008960F2">
        <w:rPr>
          <w:rFonts w:ascii="Times New Roman" w:hAnsi="Times New Roman" w:cs="Times New Roman"/>
          <w:bCs/>
          <w:sz w:val="24"/>
          <w:szCs w:val="24"/>
        </w:rPr>
        <w:t xml:space="preserve">строительство инженерной инфраструктуры для водоотведения площадки особой экономической зоны промышленно-производственного типа «Иваново», создание объектов иной инфраструктуры (строительство забора (со шлагбаумом), ограждающего территорию особой экономической зоны промышленно-производственного типа «Иваново») </w:t>
      </w:r>
      <w:r w:rsidR="008960F2"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в рамках реализации инфраструктурных проектов, источником финансового обеспечения </w:t>
      </w:r>
      <w:proofErr w:type="gramStart"/>
      <w:r w:rsidR="008960F2"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расходов</w:t>
      </w:r>
      <w:proofErr w:type="gramEnd"/>
      <w:r w:rsidR="008960F2"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</w:r>
    </w:p>
    <w:p w:rsidR="007914A0" w:rsidRPr="00AE2843" w:rsidRDefault="007914A0" w:rsidP="008960F2">
      <w:pPr>
        <w:pStyle w:val="ConsPlusNonformat"/>
        <w:spacing w:after="20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14A0" w:rsidRPr="00AE2843" w:rsidRDefault="007914A0" w:rsidP="008960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843">
        <w:rPr>
          <w:rFonts w:ascii="Times New Roman" w:hAnsi="Times New Roman" w:cs="Times New Roman"/>
          <w:sz w:val="24"/>
          <w:szCs w:val="24"/>
        </w:rPr>
        <w:t>Ознакомившись с</w:t>
      </w:r>
      <w:r w:rsidR="008960F2" w:rsidRPr="008960F2">
        <w:rPr>
          <w:rFonts w:ascii="Times New Roman" w:hAnsi="Times New Roman" w:cs="Times New Roman"/>
          <w:sz w:val="24"/>
          <w:szCs w:val="24"/>
        </w:rPr>
        <w:t xml:space="preserve"> </w:t>
      </w:r>
      <w:r w:rsidR="008960F2">
        <w:rPr>
          <w:rFonts w:ascii="Times New Roman" w:hAnsi="Times New Roman" w:cs="Times New Roman"/>
          <w:sz w:val="24"/>
          <w:szCs w:val="24"/>
        </w:rPr>
        <w:t>Порядк</w:t>
      </w:r>
      <w:r w:rsidR="008960F2">
        <w:rPr>
          <w:rFonts w:ascii="Times New Roman" w:hAnsi="Times New Roman" w:cs="Times New Roman"/>
          <w:sz w:val="24"/>
          <w:szCs w:val="24"/>
        </w:rPr>
        <w:t>ом</w:t>
      </w:r>
      <w:r w:rsidR="008960F2">
        <w:rPr>
          <w:rFonts w:ascii="Times New Roman" w:hAnsi="Times New Roman" w:cs="Times New Roman"/>
          <w:sz w:val="24"/>
          <w:szCs w:val="24"/>
        </w:rPr>
        <w:t xml:space="preserve"> предоставления из областного бюджета субсидий юридическим лицам на технологическое присоединение объектов, расположенных на территории особой экономической зоны промышленно-производственного типа </w:t>
      </w:r>
      <w:r w:rsidR="008960F2">
        <w:rPr>
          <w:rFonts w:ascii="Times New Roman" w:hAnsi="Times New Roman" w:cs="Times New Roman"/>
          <w:sz w:val="24"/>
          <w:szCs w:val="24"/>
        </w:rPr>
        <w:t>«</w:t>
      </w:r>
      <w:r w:rsidR="008960F2">
        <w:rPr>
          <w:rFonts w:ascii="Times New Roman" w:hAnsi="Times New Roman" w:cs="Times New Roman"/>
          <w:sz w:val="24"/>
          <w:szCs w:val="24"/>
        </w:rPr>
        <w:t>Иваново</w:t>
      </w:r>
      <w:r w:rsidR="008960F2">
        <w:rPr>
          <w:rFonts w:ascii="Times New Roman" w:hAnsi="Times New Roman" w:cs="Times New Roman"/>
          <w:sz w:val="24"/>
          <w:szCs w:val="24"/>
        </w:rPr>
        <w:t>»</w:t>
      </w:r>
      <w:r w:rsidR="008960F2">
        <w:rPr>
          <w:rFonts w:ascii="Times New Roman" w:hAnsi="Times New Roman" w:cs="Times New Roman"/>
          <w:sz w:val="24"/>
          <w:szCs w:val="24"/>
        </w:rPr>
        <w:t xml:space="preserve">, к электрическим сетям, сетям газоснабжения, сетям водоснабжения и водоотведения, строительство инженерной инфраструктуры для водоотведения площадки особой экономической зоны промышленно-производственного типа </w:t>
      </w:r>
      <w:r w:rsidR="008960F2">
        <w:rPr>
          <w:rFonts w:ascii="Times New Roman" w:hAnsi="Times New Roman" w:cs="Times New Roman"/>
          <w:sz w:val="24"/>
          <w:szCs w:val="24"/>
        </w:rPr>
        <w:t>«</w:t>
      </w:r>
      <w:r w:rsidR="008960F2">
        <w:rPr>
          <w:rFonts w:ascii="Times New Roman" w:hAnsi="Times New Roman" w:cs="Times New Roman"/>
          <w:sz w:val="24"/>
          <w:szCs w:val="24"/>
        </w:rPr>
        <w:t>Иваново</w:t>
      </w:r>
      <w:r w:rsidR="008960F2">
        <w:rPr>
          <w:rFonts w:ascii="Times New Roman" w:hAnsi="Times New Roman" w:cs="Times New Roman"/>
          <w:sz w:val="24"/>
          <w:szCs w:val="24"/>
        </w:rPr>
        <w:t>»</w:t>
      </w:r>
      <w:r w:rsidR="008960F2">
        <w:rPr>
          <w:rFonts w:ascii="Times New Roman" w:hAnsi="Times New Roman" w:cs="Times New Roman"/>
          <w:sz w:val="24"/>
          <w:szCs w:val="24"/>
        </w:rPr>
        <w:t xml:space="preserve">, создание объектов иной инфраструктуры (строительство забора (со </w:t>
      </w:r>
      <w:r w:rsidR="008960F2">
        <w:rPr>
          <w:rFonts w:ascii="Times New Roman" w:hAnsi="Times New Roman" w:cs="Times New Roman"/>
          <w:sz w:val="24"/>
          <w:szCs w:val="24"/>
        </w:rPr>
        <w:lastRenderedPageBreak/>
        <w:t xml:space="preserve">шлагбаумом), ограждающего территорию особой экономической зоны промышленно-производственного типа </w:t>
      </w:r>
      <w:r w:rsidR="008960F2">
        <w:rPr>
          <w:rFonts w:ascii="Times New Roman" w:hAnsi="Times New Roman" w:cs="Times New Roman"/>
          <w:sz w:val="24"/>
          <w:szCs w:val="24"/>
        </w:rPr>
        <w:t>«</w:t>
      </w:r>
      <w:r w:rsidR="008960F2">
        <w:rPr>
          <w:rFonts w:ascii="Times New Roman" w:hAnsi="Times New Roman" w:cs="Times New Roman"/>
          <w:sz w:val="24"/>
          <w:szCs w:val="24"/>
        </w:rPr>
        <w:t>Иваново</w:t>
      </w:r>
      <w:proofErr w:type="gramEnd"/>
      <w:r w:rsidR="008960F2">
        <w:rPr>
          <w:rFonts w:ascii="Times New Roman" w:hAnsi="Times New Roman" w:cs="Times New Roman"/>
          <w:sz w:val="24"/>
          <w:szCs w:val="24"/>
        </w:rPr>
        <w:t>»</w:t>
      </w:r>
      <w:r w:rsidR="008960F2">
        <w:rPr>
          <w:rFonts w:ascii="Times New Roman" w:hAnsi="Times New Roman" w:cs="Times New Roman"/>
          <w:sz w:val="24"/>
          <w:szCs w:val="24"/>
        </w:rPr>
        <w:t xml:space="preserve">) в рамках реализации инфраструктурных проектов, источником финансового обеспечения </w:t>
      </w:r>
      <w:proofErr w:type="gramStart"/>
      <w:r w:rsidR="008960F2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="008960F2">
        <w:rPr>
          <w:rFonts w:ascii="Times New Roman" w:hAnsi="Times New Roman" w:cs="Times New Roman"/>
          <w:sz w:val="24"/>
          <w:szCs w:val="24"/>
        </w:rPr>
        <w:t xml:space="preserve">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</w:r>
      <w:r w:rsidR="008960F2">
        <w:rPr>
          <w:rFonts w:ascii="Times New Roman" w:hAnsi="Times New Roman" w:cs="Times New Roman"/>
          <w:sz w:val="24"/>
          <w:szCs w:val="24"/>
        </w:rPr>
        <w:t>»</w:t>
      </w:r>
      <w:r w:rsidRPr="00AE2843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Ивановской области от «</w:t>
      </w:r>
      <w:r w:rsidR="008960F2">
        <w:rPr>
          <w:rFonts w:ascii="Times New Roman" w:hAnsi="Times New Roman" w:cs="Times New Roman"/>
          <w:sz w:val="24"/>
          <w:szCs w:val="24"/>
        </w:rPr>
        <w:t>22</w:t>
      </w:r>
      <w:r w:rsidRPr="00AE2843">
        <w:rPr>
          <w:rFonts w:ascii="Times New Roman" w:hAnsi="Times New Roman" w:cs="Times New Roman"/>
          <w:sz w:val="24"/>
          <w:szCs w:val="24"/>
        </w:rPr>
        <w:t>»</w:t>
      </w:r>
      <w:r w:rsidR="008960F2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AE2843">
        <w:rPr>
          <w:rFonts w:ascii="Times New Roman" w:hAnsi="Times New Roman" w:cs="Times New Roman"/>
          <w:sz w:val="24"/>
          <w:szCs w:val="24"/>
        </w:rPr>
        <w:t xml:space="preserve"> 20</w:t>
      </w:r>
      <w:r w:rsidR="008960F2">
        <w:rPr>
          <w:rFonts w:ascii="Times New Roman" w:hAnsi="Times New Roman" w:cs="Times New Roman"/>
          <w:sz w:val="24"/>
          <w:szCs w:val="24"/>
        </w:rPr>
        <w:t>23</w:t>
      </w:r>
      <w:r w:rsidRPr="00AE284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960F2">
        <w:rPr>
          <w:rFonts w:ascii="Times New Roman" w:hAnsi="Times New Roman" w:cs="Times New Roman"/>
          <w:sz w:val="24"/>
          <w:szCs w:val="24"/>
        </w:rPr>
        <w:t>267-п</w:t>
      </w:r>
    </w:p>
    <w:p w:rsidR="007914A0" w:rsidRPr="00AE2843" w:rsidRDefault="007914A0" w:rsidP="007914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2843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</w:t>
      </w:r>
      <w:r w:rsidRPr="00AE2843">
        <w:rPr>
          <w:sz w:val="24"/>
          <w:szCs w:val="24"/>
        </w:rPr>
        <w:t>________</w:t>
      </w:r>
      <w:r>
        <w:rPr>
          <w:sz w:val="24"/>
          <w:szCs w:val="24"/>
        </w:rPr>
        <w:br/>
      </w:r>
      <w:r w:rsidRPr="00AE2843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7914A0" w:rsidRPr="00AE2843" w:rsidRDefault="007914A0" w:rsidP="0089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43">
        <w:rPr>
          <w:rFonts w:ascii="Times New Roman" w:hAnsi="Times New Roman" w:cs="Times New Roman"/>
          <w:sz w:val="24"/>
          <w:szCs w:val="24"/>
        </w:rPr>
        <w:t>просит предоставить субсидию из областного бюджета на</w:t>
      </w:r>
      <w:r w:rsidR="008960F2" w:rsidRPr="008960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60F2" w:rsidRPr="008960F2">
        <w:rPr>
          <w:rFonts w:ascii="Times New Roman" w:hAnsi="Times New Roman" w:cs="Times New Roman"/>
          <w:bCs/>
          <w:sz w:val="24"/>
          <w:szCs w:val="24"/>
        </w:rPr>
        <w:t xml:space="preserve">строительство инженерной инфраструктуры для водоотведения площадки особой экономической зоны промышленно-производственного типа «Иваново», создание объектов иной инфраструктуры (строительство забора (со шлагбаумом), ограждающего территорию особой экономической зоны промышленно-производственного типа «Иваново») </w:t>
      </w:r>
      <w:r w:rsidR="008960F2"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в рамках реализации инфраструктурных проектов, источником финансового обеспечения </w:t>
      </w:r>
      <w:proofErr w:type="gramStart"/>
      <w:r w:rsidR="008960F2"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расходов</w:t>
      </w:r>
      <w:proofErr w:type="gramEnd"/>
      <w:r w:rsidR="008960F2" w:rsidRPr="00150D49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</w:r>
      <w:r w:rsidR="008960F2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2843">
        <w:rPr>
          <w:rFonts w:ascii="Times New Roman" w:hAnsi="Times New Roman" w:cs="Times New Roman"/>
          <w:sz w:val="24"/>
          <w:szCs w:val="24"/>
        </w:rPr>
        <w:t>(далее – субсидия).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Участник отбора: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 xml:space="preserve">дает согласие на публикацию (размещение) в информационно-телекоммуникационной сети Интернет информации о </w:t>
      </w:r>
      <w:proofErr w:type="gramStart"/>
      <w:r w:rsidRPr="00AE2843">
        <w:rPr>
          <w:rFonts w:ascii="Times New Roman" w:hAnsi="Times New Roman" w:cs="Times New Roman"/>
          <w:sz w:val="24"/>
          <w:szCs w:val="24"/>
          <w:lang w:eastAsia="en-US"/>
        </w:rPr>
        <w:t>подаваемом</w:t>
      </w:r>
      <w:proofErr w:type="gramEnd"/>
      <w:r w:rsidRPr="00AE2843">
        <w:rPr>
          <w:rFonts w:ascii="Times New Roman" w:hAnsi="Times New Roman" w:cs="Times New Roman"/>
          <w:sz w:val="24"/>
          <w:szCs w:val="24"/>
          <w:lang w:eastAsia="en-US"/>
        </w:rPr>
        <w:t xml:space="preserve"> предложения (заявке), иной информации, связанной с предоставлением субсидии;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дает согласие на представление налоговыми органами Департаменту строительства и архитектуры Ивановской области (далее - Департамент) документов и сведений в отношении Заявителя;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 xml:space="preserve">подтверждает соответствие участника отбора требованиям, предусмотренным </w:t>
      </w:r>
      <w:r w:rsidRPr="00937B7B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937B7B">
        <w:rPr>
          <w:rFonts w:ascii="Times New Roman" w:hAnsi="Times New Roman" w:cs="Times New Roman"/>
          <w:sz w:val="24"/>
          <w:szCs w:val="24"/>
          <w:lang w:eastAsia="en-US"/>
        </w:rPr>
        <w:t>2.3 Порядка</w:t>
      </w:r>
      <w:r w:rsidRPr="00AE2843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в случае предоставления субсидии обязуется представлять отчет о достижении значений результата предоставления субсидии в соответствии с требованиями Порядка и соглашения о предоставлении субсидии;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принимает на себя обязательства, предусмотренные Порядком;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подтверждает, что вся информация, содержащаяся в настоящем предложении (заявке) и прилагаемых к нему документах (сведениях), является достоверной и полной, дает согласие на доступ к ней любых заинтересованных лиц.</w:t>
      </w:r>
    </w:p>
    <w:p w:rsidR="007914A0" w:rsidRPr="00AE2843" w:rsidRDefault="007914A0" w:rsidP="007914A0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К настоящему предложению (заявке) прилагаются следующие документы (с указанием реквизитов</w:t>
      </w:r>
      <w:r w:rsidRPr="00AE2843">
        <w:rPr>
          <w:sz w:val="24"/>
          <w:szCs w:val="24"/>
          <w:lang w:eastAsia="en-US"/>
        </w:rPr>
        <w:t>):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1. _____________________________________________________________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2. _____________________________________________________________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3. _____________________________________________________________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4. _____________________________________________________________</w:t>
      </w:r>
    </w:p>
    <w:p w:rsidR="007914A0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5. _____________________________________________________________</w:t>
      </w:r>
    </w:p>
    <w:p w:rsidR="007914A0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1985"/>
        <w:gridCol w:w="425"/>
        <w:gridCol w:w="2943"/>
      </w:tblGrid>
      <w:tr w:rsidR="007914A0" w:rsidTr="00B14F4A">
        <w:tc>
          <w:tcPr>
            <w:tcW w:w="3652" w:type="dxa"/>
            <w:tcBorders>
              <w:bottom w:val="single" w:sz="4" w:space="0" w:color="auto"/>
            </w:tcBorders>
          </w:tcPr>
          <w:p w:rsidR="007914A0" w:rsidRDefault="007914A0" w:rsidP="00B14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7914A0" w:rsidRDefault="007914A0" w:rsidP="00B14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914A0" w:rsidRDefault="007914A0" w:rsidP="00B14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7914A0" w:rsidRDefault="007914A0" w:rsidP="00B14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914A0" w:rsidRDefault="007914A0" w:rsidP="00B14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14A0" w:rsidTr="00B14F4A">
        <w:tc>
          <w:tcPr>
            <w:tcW w:w="3652" w:type="dxa"/>
            <w:tcBorders>
              <w:top w:val="single" w:sz="4" w:space="0" w:color="auto"/>
            </w:tcBorders>
          </w:tcPr>
          <w:p w:rsidR="007914A0" w:rsidRDefault="007914A0" w:rsidP="00B14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425" w:type="dxa"/>
          </w:tcPr>
          <w:p w:rsidR="007914A0" w:rsidRDefault="007914A0" w:rsidP="00B14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914A0" w:rsidRDefault="007914A0" w:rsidP="00B14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7914A0" w:rsidRDefault="007914A0" w:rsidP="00B14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7914A0" w:rsidRDefault="007914A0" w:rsidP="00B14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(ФИО)</w:t>
            </w:r>
          </w:p>
        </w:tc>
      </w:tr>
      <w:tr w:rsidR="007914A0" w:rsidTr="00B14F4A">
        <w:trPr>
          <w:trHeight w:val="585"/>
        </w:trPr>
        <w:tc>
          <w:tcPr>
            <w:tcW w:w="9430" w:type="dxa"/>
            <w:gridSpan w:val="5"/>
            <w:vAlign w:val="bottom"/>
          </w:tcPr>
          <w:p w:rsidR="007914A0" w:rsidRDefault="007914A0" w:rsidP="00B14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 (при наличии)</w:t>
            </w:r>
          </w:p>
        </w:tc>
      </w:tr>
      <w:tr w:rsidR="007914A0" w:rsidTr="00B14F4A">
        <w:trPr>
          <w:trHeight w:val="565"/>
        </w:trPr>
        <w:tc>
          <w:tcPr>
            <w:tcW w:w="9430" w:type="dxa"/>
            <w:gridSpan w:val="5"/>
            <w:vAlign w:val="bottom"/>
          </w:tcPr>
          <w:p w:rsidR="007914A0" w:rsidRDefault="007914A0" w:rsidP="00B14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________________ 20__ г.</w:t>
            </w:r>
          </w:p>
        </w:tc>
      </w:tr>
    </w:tbl>
    <w:p w:rsidR="00487672" w:rsidRDefault="00487672"/>
    <w:sectPr w:rsidR="00487672" w:rsidSect="007462D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A0"/>
    <w:rsid w:val="00487672"/>
    <w:rsid w:val="007914A0"/>
    <w:rsid w:val="008960F2"/>
    <w:rsid w:val="00D3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91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1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9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91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1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9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Лабутина Ольга</cp:lastModifiedBy>
  <cp:revision>3</cp:revision>
  <dcterms:created xsi:type="dcterms:W3CDTF">2023-11-02T08:46:00Z</dcterms:created>
  <dcterms:modified xsi:type="dcterms:W3CDTF">2023-11-02T08:52:00Z</dcterms:modified>
</cp:coreProperties>
</file>